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90"/>
        <w:spacing w:after="176"/>
        <w:shd w:val="clear" w:color="auto" w:fill="auto"/>
        <w:rPr>
          <w:sz w:val="28"/>
          <w:szCs w:val="28"/>
        </w:rPr>
      </w:pPr>
      <w:r>
        <w:rPr>
          <w:sz w:val="28"/>
          <w:szCs w:val="28"/>
        </w:rPr>
        <w:t xml:space="preserve">ПАМЯТКА </w:t>
      </w:r>
      <w:r>
        <w:rPr>
          <w:sz w:val="28"/>
          <w:szCs w:val="28"/>
        </w:rPr>
      </w:r>
    </w:p>
    <w:p>
      <w:pPr>
        <w:pStyle w:val="690"/>
        <w:spacing w:after="80" w:line="260" w:lineRule="exact"/>
        <w:shd w:val="clear" w:color="auto" w:fill="auto"/>
        <w:rPr>
          <w:sz w:val="28"/>
          <w:szCs w:val="28"/>
        </w:rPr>
      </w:pPr>
      <w:r>
        <w:rPr>
          <w:sz w:val="28"/>
          <w:szCs w:val="28"/>
        </w:rPr>
        <w:t xml:space="preserve">о действиях при установлении </w:t>
      </w:r>
      <w:r>
        <w:rPr>
          <w:sz w:val="28"/>
          <w:szCs w:val="28"/>
        </w:rPr>
      </w:r>
    </w:p>
    <w:p>
      <w:pPr>
        <w:pStyle w:val="690"/>
        <w:spacing w:after="80" w:line="260" w:lineRule="exact"/>
        <w:shd w:val="clear" w:color="auto" w:fill="auto"/>
        <w:rPr>
          <w:sz w:val="28"/>
          <w:szCs w:val="28"/>
        </w:rPr>
      </w:pPr>
      <w:r>
        <w:rPr>
          <w:sz w:val="28"/>
          <w:szCs w:val="28"/>
        </w:rPr>
        <w:t xml:space="preserve">уровней террористической опасности</w:t>
      </w:r>
      <w:r>
        <w:rPr>
          <w:sz w:val="28"/>
          <w:szCs w:val="28"/>
        </w:rPr>
      </w:r>
    </w:p>
    <w:p>
      <w:pPr>
        <w:ind w:firstLine="709"/>
        <w:jc w:val="both"/>
        <w:spacing w:line="264" w:lineRule="auto"/>
        <w:rPr>
          <w:rStyle w:val="688"/>
          <w:rFonts w:eastAsia="Courier New"/>
          <w:sz w:val="28"/>
          <w:szCs w:val="28"/>
        </w:rPr>
      </w:pPr>
      <w:r>
        <w:rPr>
          <w:rStyle w:val="688"/>
          <w:rFonts w:eastAsia="Courier New"/>
          <w:sz w:val="28"/>
          <w:szCs w:val="28"/>
        </w:rPr>
        <w:t xml:space="preserve"> </w:t>
      </w:r>
      <w:bookmarkStart w:id="0" w:name="_GoBack"/>
      <w:r/>
      <w:bookmarkEnd w:id="0"/>
      <w:r/>
      <w:r>
        <w:rPr>
          <w:rStyle w:val="688"/>
          <w:rFonts w:eastAsia="Courier New"/>
          <w:sz w:val="28"/>
          <w:szCs w:val="28"/>
        </w:rPr>
      </w:r>
    </w:p>
    <w:p>
      <w:pPr>
        <w:pStyle w:val="693"/>
        <w:ind w:right="45" w:firstLine="709"/>
        <w:jc w:val="both"/>
        <w:spacing w:line="264" w:lineRule="auto"/>
        <w:rPr>
          <w:b w:val="0"/>
          <w:bCs/>
          <w:color w:val="auto"/>
          <w:szCs w:val="28"/>
        </w:rPr>
      </w:pPr>
      <w:r>
        <w:rPr>
          <w:b w:val="0"/>
          <w:bCs/>
          <w:color w:val="auto"/>
          <w:szCs w:val="28"/>
        </w:rPr>
        <w:t xml:space="preserve">В целях своевременного информирования населения о возникновении угрозы террористического акта и организации деятельности по противодействию его совершению, органами государственной власти</w:t>
      </w:r>
      <w:r>
        <w:rPr>
          <w:b w:val="0"/>
          <w:bCs/>
          <w:szCs w:val="28"/>
        </w:rPr>
        <w:t xml:space="preserve"> и</w:t>
      </w:r>
      <w:r>
        <w:rPr>
          <w:b w:val="0"/>
          <w:bCs/>
          <w:color w:val="auto"/>
          <w:szCs w:val="28"/>
        </w:rPr>
        <w:t xml:space="preserve"> местного самоуправления </w:t>
      </w:r>
      <w:r>
        <w:rPr>
          <w:b w:val="0"/>
          <w:bCs/>
          <w:szCs w:val="28"/>
        </w:rPr>
        <w:t xml:space="preserve">Республики Дагестан в </w:t>
      </w:r>
      <w:r>
        <w:rPr>
          <w:b w:val="0"/>
          <w:bCs/>
          <w:color w:val="auto"/>
          <w:szCs w:val="28"/>
        </w:rPr>
        <w:t xml:space="preserve">соответствии с </w:t>
      </w:r>
      <w:r>
        <w:rPr>
          <w:rFonts w:cs="Times New Roman"/>
          <w:b w:val="0"/>
          <w:bCs/>
          <w:szCs w:val="28"/>
        </w:rPr>
        <w:t xml:space="preserve">Указом Президента Российской Федерации от 14 июня 2012 г. № 851</w:t>
      </w:r>
      <w:r>
        <w:rPr>
          <w:b w:val="0"/>
          <w:bCs/>
          <w:szCs w:val="28"/>
        </w:rPr>
        <w:t xml:space="preserve"> </w:t>
      </w:r>
      <w:r>
        <w:rPr>
          <w:b w:val="0"/>
          <w:bCs/>
          <w:iCs/>
          <w:color w:val="22272f"/>
          <w:szCs w:val="28"/>
        </w:rPr>
        <w:t xml:space="preserve">«</w:t>
      </w:r>
      <w:r>
        <w:rPr>
          <w:rFonts w:cs="Times New Roman"/>
          <w:b w:val="0"/>
          <w:bCs/>
          <w:iCs/>
          <w:color w:val="22272f"/>
          <w:szCs w:val="28"/>
        </w:rPr>
        <w:t xml:space="preserve">О порядке установления уровней террористической опасности, предусматривающих принятие дополнительных мер по обеспечению безопасности личности, общества и государства</w:t>
      </w:r>
      <w:r>
        <w:rPr>
          <w:b w:val="0"/>
          <w:bCs/>
          <w:iCs/>
          <w:color w:val="22272f"/>
          <w:szCs w:val="28"/>
        </w:rPr>
        <w:t xml:space="preserve">»</w:t>
      </w:r>
      <w:r>
        <w:rPr>
          <w:b w:val="0"/>
          <w:bCs/>
          <w:iCs/>
          <w:color w:val="22272f"/>
          <w:szCs w:val="28"/>
        </w:rPr>
        <w:t xml:space="preserve">,</w:t>
      </w:r>
      <w:r>
        <w:rPr>
          <w:b w:val="0"/>
          <w:bCs/>
          <w:iCs/>
          <w:color w:val="22272f"/>
          <w:szCs w:val="28"/>
        </w:rPr>
        <w:t xml:space="preserve"> </w:t>
      </w:r>
      <w:r>
        <w:rPr>
          <w:b w:val="0"/>
          <w:bCs/>
          <w:color w:val="auto"/>
          <w:szCs w:val="28"/>
        </w:rPr>
        <w:t xml:space="preserve">могут устанавливаться уровни террористической опасности: </w:t>
      </w:r>
      <w:r>
        <w:rPr>
          <w:rFonts w:cs="Times New Roman"/>
          <w:b w:val="0"/>
          <w:bCs/>
          <w:szCs w:val="28"/>
        </w:rPr>
        <w:t xml:space="preserve">повышенн</w:t>
      </w:r>
      <w:r>
        <w:rPr>
          <w:b w:val="0"/>
          <w:bCs/>
          <w:szCs w:val="28"/>
        </w:rPr>
        <w:t xml:space="preserve">ый</w:t>
      </w:r>
      <w:r>
        <w:rPr>
          <w:rFonts w:cs="Times New Roman"/>
          <w:b w:val="0"/>
          <w:bCs/>
          <w:szCs w:val="28"/>
        </w:rPr>
        <w:t xml:space="preserve"> («син</w:t>
      </w:r>
      <w:r>
        <w:rPr>
          <w:b w:val="0"/>
          <w:bCs/>
          <w:szCs w:val="28"/>
        </w:rPr>
        <w:t xml:space="preserve">ий</w:t>
      </w:r>
      <w:r>
        <w:rPr>
          <w:rFonts w:cs="Times New Roman"/>
          <w:b w:val="0"/>
          <w:bCs/>
          <w:szCs w:val="28"/>
        </w:rPr>
        <w:t xml:space="preserve">»)</w:t>
      </w:r>
      <w:r>
        <w:rPr>
          <w:b w:val="0"/>
          <w:bCs/>
          <w:szCs w:val="28"/>
        </w:rPr>
        <w:t xml:space="preserve">, </w:t>
      </w:r>
      <w:r>
        <w:rPr>
          <w:rFonts w:cs="Times New Roman"/>
          <w:b w:val="0"/>
          <w:bCs/>
          <w:szCs w:val="28"/>
        </w:rPr>
        <w:t xml:space="preserve">высок</w:t>
      </w:r>
      <w:r>
        <w:rPr>
          <w:b w:val="0"/>
          <w:bCs/>
          <w:szCs w:val="28"/>
        </w:rPr>
        <w:t xml:space="preserve">ий</w:t>
      </w:r>
      <w:r>
        <w:rPr>
          <w:rFonts w:cs="Times New Roman"/>
          <w:b w:val="0"/>
          <w:bCs/>
          <w:szCs w:val="28"/>
        </w:rPr>
        <w:t xml:space="preserve"> («желт</w:t>
      </w:r>
      <w:r>
        <w:rPr>
          <w:b w:val="0"/>
          <w:bCs/>
          <w:szCs w:val="28"/>
        </w:rPr>
        <w:t xml:space="preserve">ый</w:t>
      </w:r>
      <w:r>
        <w:rPr>
          <w:rFonts w:cs="Times New Roman"/>
          <w:b w:val="0"/>
          <w:bCs/>
          <w:szCs w:val="28"/>
        </w:rPr>
        <w:t xml:space="preserve">»)</w:t>
      </w:r>
      <w:r>
        <w:rPr>
          <w:b w:val="0"/>
          <w:bCs/>
          <w:szCs w:val="28"/>
        </w:rPr>
        <w:t xml:space="preserve"> </w:t>
      </w:r>
      <w:r>
        <w:rPr>
          <w:b w:val="0"/>
          <w:bCs/>
          <w:szCs w:val="28"/>
        </w:rPr>
        <w:t xml:space="preserve">                          </w:t>
      </w:r>
      <w:r>
        <w:rPr>
          <w:b w:val="0"/>
          <w:bCs/>
          <w:szCs w:val="28"/>
        </w:rPr>
        <w:t xml:space="preserve">и критический («красный»).</w:t>
      </w:r>
      <w:r>
        <w:rPr>
          <w:rFonts w:cs="Times New Roman"/>
          <w:b w:val="0"/>
          <w:bCs/>
          <w:i/>
          <w:iCs/>
          <w:szCs w:val="28"/>
        </w:rPr>
        <w:t xml:space="preserve"> </w:t>
      </w:r>
      <w:r>
        <w:rPr>
          <w:rFonts w:cs="Times New Roman"/>
          <w:b w:val="0"/>
          <w:bCs/>
          <w:szCs w:val="28"/>
        </w:rPr>
        <w:t xml:space="preserve"> </w:t>
      </w:r>
      <w:r>
        <w:rPr>
          <w:b w:val="0"/>
          <w:bCs/>
          <w:szCs w:val="28"/>
        </w:rPr>
        <w:t xml:space="preserve">  </w:t>
      </w:r>
      <w:r>
        <w:rPr>
          <w:b w:val="0"/>
          <w:bCs/>
          <w:color w:val="auto"/>
          <w:szCs w:val="28"/>
        </w:rPr>
      </w:r>
    </w:p>
    <w:p>
      <w:pPr>
        <w:pStyle w:val="691"/>
        <w:ind w:right="45" w:firstLine="709"/>
        <w:spacing w:before="0" w:line="264" w:lineRule="auto"/>
        <w:shd w:val="clear" w:color="auto" w:fill="auto"/>
        <w:rPr>
          <w:sz w:val="28"/>
          <w:szCs w:val="28"/>
        </w:rPr>
      </w:pPr>
      <w:r>
        <w:rPr>
          <w:sz w:val="28"/>
          <w:szCs w:val="28"/>
        </w:rPr>
        <w:t xml:space="preserve">Решение об установлении уровней террористической опасности подлежит незамедлительному обнародованию в средства массовой информации.</w:t>
      </w:r>
      <w:r>
        <w:rPr>
          <w:sz w:val="28"/>
          <w:szCs w:val="28"/>
        </w:rPr>
      </w:r>
    </w:p>
    <w:p>
      <w:pPr>
        <w:pStyle w:val="691"/>
        <w:ind w:right="45" w:firstLine="709"/>
        <w:spacing w:before="0" w:line="264" w:lineRule="auto"/>
        <w:shd w:val="clear" w:color="auto" w:fill="auto"/>
        <w:rPr>
          <w:sz w:val="28"/>
          <w:szCs w:val="28"/>
        </w:rPr>
      </w:pPr>
      <w:r>
        <w:rPr>
          <w:sz w:val="28"/>
          <w:szCs w:val="28"/>
        </w:rPr>
        <w:t xml:space="preserve">В связи с установлением </w:t>
      </w:r>
      <w:r>
        <w:rPr>
          <w:sz w:val="28"/>
          <w:szCs w:val="28"/>
        </w:rPr>
        <w:t xml:space="preserve">того или иного </w:t>
      </w:r>
      <w:r>
        <w:rPr>
          <w:sz w:val="28"/>
          <w:szCs w:val="28"/>
        </w:rPr>
        <w:t xml:space="preserve">уровня террористической опасности на территории (участке, объекте)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Республики Дагестан и принятием правоохранительными органами мер по обеспечению безопасности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гражданам рекомендуется:</w:t>
      </w:r>
      <w:r>
        <w:rPr>
          <w:sz w:val="28"/>
          <w:szCs w:val="28"/>
        </w:rPr>
      </w:r>
    </w:p>
    <w:p>
      <w:pPr>
        <w:ind w:right="45" w:firstLine="709"/>
        <w:jc w:val="both"/>
        <w:spacing w:line="264" w:lineRule="auto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относиться с пониманием к проведению правоохранительными органами досмотровых мероприятий, а также иных мероприятий по обеспечению безопасности граждан;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right="45" w:firstLine="709"/>
        <w:jc w:val="both"/>
        <w:spacing w:line="264" w:lineRule="auto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проявлять бдительность при нахождении в общественных местах                           и транспорте;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right="45" w:firstLine="709"/>
        <w:jc w:val="both"/>
        <w:spacing w:line="264" w:lineRule="auto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 нахождении в общественных местах иметь при себе удостоверяющие личность документы и предоставлять их по требованию сотрудников правоохранительных органов;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right="45" w:firstLine="709"/>
        <w:jc w:val="both"/>
        <w:spacing w:line="264" w:lineRule="auto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устанавливать связь с правоохранительными органами в случае появления подозрительных людей, автотранспорта и обнаружения бесхозных предметов; оказывать содействие специальным службам; 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right="45" w:firstLine="709"/>
        <w:jc w:val="both"/>
        <w:spacing w:line="264" w:lineRule="auto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следить за новостями, распространяемыми государственными органами                  и их пресс-службами в </w:t>
      </w:r>
      <w:r>
        <w:rPr>
          <w:rFonts w:ascii="Times New Roman" w:hAnsi="Times New Roman" w:cs="Times New Roman"/>
          <w:sz w:val="28"/>
          <w:szCs w:val="28"/>
        </w:rPr>
        <w:t xml:space="preserve">средствах массовой информации</w:t>
      </w:r>
      <w:r>
        <w:rPr>
          <w:rFonts w:ascii="Times New Roman" w:hAnsi="Times New Roman" w:cs="Times New Roman"/>
          <w:sz w:val="28"/>
          <w:szCs w:val="28"/>
        </w:rPr>
        <w:t xml:space="preserve"> и сети «Интернет», а также размещаемыми на официальных сайтах и интернет-ресурсах государственных органов и органов местного самоуправления.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right="45" w:firstLine="709"/>
        <w:jc w:val="both"/>
        <w:spacing w:line="264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обнаружении подозрительного предмета: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right="45" w:firstLine="709"/>
        <w:jc w:val="both"/>
        <w:spacing w:line="264" w:lineRule="auto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не трогайте, не передвигайте, не вскрывайте обнаруженный предмет;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right="45" w:firstLine="709"/>
        <w:jc w:val="both"/>
        <w:spacing w:line="264" w:lineRule="auto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зафиксируйте время обнаружения предмета;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right="45" w:firstLine="709"/>
        <w:jc w:val="both"/>
        <w:spacing w:line="264" w:lineRule="auto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постарайтесь сделать все возможное, чтобы люди отошли на максимальное удаление от места обнаружения подозрительного предмета;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right="45" w:firstLine="709"/>
        <w:jc w:val="both"/>
        <w:spacing w:line="264" w:lineRule="auto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позвоните на номер экстренных оперативных служб 112;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right="45" w:firstLine="709"/>
        <w:jc w:val="both"/>
        <w:spacing w:line="264" w:lineRule="auto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обязательно дождитесь прибытия сотрудников правоохранительных органов.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right="45" w:firstLine="709"/>
        <w:jc w:val="both"/>
        <w:spacing w:line="264" w:lineRule="auto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Помните: внешний вид предмета может скрывать его настоящее назначение.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1"/>
        <w:ind w:right="45" w:firstLine="709"/>
        <w:spacing w:before="0" w:line="264" w:lineRule="auto"/>
        <w:shd w:val="clear" w:color="auto" w:fill="auto"/>
        <w:rPr>
          <w:sz w:val="28"/>
          <w:szCs w:val="28"/>
        </w:rPr>
      </w:pPr>
      <w:r>
        <w:rPr>
          <w:sz w:val="28"/>
          <w:szCs w:val="28"/>
        </w:rPr>
        <w:t xml:space="preserve">В качестве маскировки для взрывных устройств террористами могут использоваться обычные бытовые предметы (коробки, сумки, портфели, сигаретные пачки, мобильные телефоны, игрушки).</w:t>
      </w:r>
      <w:r>
        <w:rPr>
          <w:sz w:val="28"/>
          <w:szCs w:val="28"/>
        </w:rPr>
      </w:r>
    </w:p>
    <w:p>
      <w:pPr>
        <w:pStyle w:val="691"/>
        <w:ind w:right="45" w:firstLine="709"/>
        <w:spacing w:before="0" w:line="264" w:lineRule="auto"/>
        <w:shd w:val="clear" w:color="auto" w:fill="auto"/>
        <w:rPr>
          <w:sz w:val="28"/>
          <w:szCs w:val="28"/>
        </w:rPr>
      </w:pPr>
      <w:r>
        <w:rPr>
          <w:sz w:val="28"/>
          <w:szCs w:val="28"/>
        </w:rPr>
        <w:t xml:space="preserve">Объясните это вашим детям, родным и знакомым.</w:t>
      </w:r>
      <w:r>
        <w:rPr>
          <w:sz w:val="28"/>
          <w:szCs w:val="28"/>
        </w:rPr>
      </w:r>
    </w:p>
    <w:p>
      <w:pPr>
        <w:ind w:right="45" w:firstLine="709"/>
        <w:jc w:val="both"/>
        <w:spacing w:line="264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Получив сообщение от представителей властей или правоохранительных органов о начале эвакуации, соблюдайте спокойствие и четко выполняйте их команды.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right="45" w:firstLine="709"/>
        <w:jc w:val="both"/>
        <w:spacing w:line="264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вы находитесь в квартире (доме), выполните следующие действия: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right="45" w:firstLine="709"/>
        <w:jc w:val="both"/>
        <w:spacing w:line="264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возьмите личные документы, деньги, ценности;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right="45" w:firstLine="709"/>
        <w:jc w:val="both"/>
        <w:spacing w:line="264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отключите электричество, воду и газ;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right="45" w:firstLine="709"/>
        <w:jc w:val="both"/>
        <w:spacing w:line="264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окажите помощь в эвакуации пожилых и тяжело больных людей;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right="45" w:firstLine="709"/>
        <w:jc w:val="both"/>
        <w:spacing w:line="264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обязательно закройте входную дверь на замок – это защитит квартиру от возможного проникновения мародеров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right="45" w:firstLine="709"/>
        <w:jc w:val="both"/>
        <w:spacing w:line="264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не допускайте паники, истерики и спешки</w:t>
      </w:r>
      <w:r>
        <w:rPr>
          <w:rFonts w:ascii="Times New Roman" w:hAnsi="Times New Roman" w:cs="Times New Roman"/>
          <w:sz w:val="28"/>
          <w:szCs w:val="28"/>
        </w:rPr>
        <w:t xml:space="preserve">, п</w:t>
      </w:r>
      <w:r>
        <w:rPr>
          <w:rFonts w:ascii="Times New Roman" w:hAnsi="Times New Roman" w:cs="Times New Roman"/>
          <w:sz w:val="28"/>
          <w:szCs w:val="28"/>
        </w:rPr>
        <w:t xml:space="preserve">омещение покидайте организованно.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right="45" w:firstLine="709"/>
        <w:jc w:val="both"/>
        <w:spacing w:line="264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Возвращайтесь в покинутое помещение только после разрешения ответственных должностных лиц.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right="45" w:firstLine="709"/>
        <w:spacing w:line="264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47"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right="47"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453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Аппарат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left="453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Антитеррористической комиссии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left="453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Республике Дагестан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right="47" w:firstLine="709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sectPr>
      <w:headerReference w:type="default" r:id="rId9"/>
      <w:footnotePr/>
      <w:endnotePr/>
      <w:type w:val="nextPage"/>
      <w:pgSz w:w="11906" w:h="16838" w:orient="portrait"/>
      <w:pgMar w:top="1134" w:right="707" w:bottom="1134" w:left="1134" w:header="708" w:footer="708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Symbol">
    <w:panose1 w:val="05010000000000000000"/>
  </w:font>
  <w:font w:name="Times New Roman">
    <w:panose1 w:val="02020603050405020304"/>
  </w:font>
  <w:font w:name="Courier New">
    <w:panose1 w:val="020703090202050204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2090184269"/>
      <w:docPartObj>
        <w:docPartGallery w:val="Page Numbers (Top of Page)"/>
        <w:docPartUnique w:val="true"/>
      </w:docPartObj>
      <w:rPr/>
    </w:sdtPr>
    <w:sdtContent>
      <w:p>
        <w:pPr>
          <w:pStyle w:val="695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2</w:t>
        </w:r>
        <w:r>
          <w:fldChar w:fldCharType="end"/>
        </w:r>
        <w:r/>
      </w:p>
    </w:sdtContent>
  </w:sdt>
  <w:p>
    <w:pPr>
      <w:pStyle w:val="695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82"/>
    <w:link w:val="680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79"/>
    <w:next w:val="679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82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79"/>
    <w:next w:val="679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82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79"/>
    <w:next w:val="679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82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79"/>
    <w:next w:val="679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82"/>
    <w:link w:val="21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682"/>
    <w:link w:val="681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79"/>
    <w:next w:val="679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82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79"/>
    <w:next w:val="679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82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79"/>
    <w:next w:val="679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82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79"/>
    <w:next w:val="679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82"/>
    <w:link w:val="34"/>
    <w:uiPriority w:val="10"/>
    <w:rPr>
      <w:sz w:val="48"/>
      <w:szCs w:val="48"/>
    </w:rPr>
  </w:style>
  <w:style w:type="paragraph" w:styleId="36">
    <w:name w:val="Subtitle"/>
    <w:basedOn w:val="679"/>
    <w:next w:val="679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82"/>
    <w:link w:val="36"/>
    <w:uiPriority w:val="11"/>
    <w:rPr>
      <w:sz w:val="24"/>
      <w:szCs w:val="24"/>
    </w:rPr>
  </w:style>
  <w:style w:type="paragraph" w:styleId="38">
    <w:name w:val="Quote"/>
    <w:basedOn w:val="679"/>
    <w:next w:val="679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79"/>
    <w:next w:val="679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682"/>
    <w:link w:val="695"/>
    <w:uiPriority w:val="99"/>
  </w:style>
  <w:style w:type="character" w:styleId="45">
    <w:name w:val="Footer Char"/>
    <w:basedOn w:val="682"/>
    <w:link w:val="697"/>
    <w:uiPriority w:val="99"/>
  </w:style>
  <w:style w:type="paragraph" w:styleId="46">
    <w:name w:val="Caption"/>
    <w:basedOn w:val="679"/>
    <w:next w:val="67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697"/>
    <w:uiPriority w:val="99"/>
  </w:style>
  <w:style w:type="table" w:styleId="48">
    <w:name w:val="Table Grid"/>
    <w:basedOn w:val="68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8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8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8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8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8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8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8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8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8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8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8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8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8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8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8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8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8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8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8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8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8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8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8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8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79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82"/>
    <w:uiPriority w:val="99"/>
    <w:unhideWhenUsed/>
    <w:rPr>
      <w:vertAlign w:val="superscript"/>
    </w:rPr>
  </w:style>
  <w:style w:type="paragraph" w:styleId="178">
    <w:name w:val="endnote text"/>
    <w:basedOn w:val="679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82"/>
    <w:uiPriority w:val="99"/>
    <w:semiHidden/>
    <w:unhideWhenUsed/>
    <w:rPr>
      <w:vertAlign w:val="superscript"/>
    </w:rPr>
  </w:style>
  <w:style w:type="paragraph" w:styleId="181">
    <w:name w:val="toc 1"/>
    <w:basedOn w:val="679"/>
    <w:next w:val="679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79"/>
    <w:next w:val="679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79"/>
    <w:next w:val="679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79"/>
    <w:next w:val="679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79"/>
    <w:next w:val="679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79"/>
    <w:next w:val="679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79"/>
    <w:next w:val="679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79"/>
    <w:next w:val="679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79"/>
    <w:next w:val="679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79"/>
    <w:next w:val="679"/>
    <w:uiPriority w:val="99"/>
    <w:unhideWhenUsed/>
    <w:pPr>
      <w:spacing w:after="0" w:afterAutospacing="0"/>
    </w:pPr>
  </w:style>
  <w:style w:type="paragraph" w:styleId="679" w:default="1">
    <w:name w:val="Normal"/>
    <w:pPr>
      <w:spacing w:after="0" w:line="240" w:lineRule="auto"/>
      <w:widowControl w:val="off"/>
    </w:pPr>
    <w:rPr>
      <w:rFonts w:ascii="Courier New" w:hAnsi="Courier New" w:eastAsia="Courier New" w:cs="Courier New"/>
      <w:color w:val="000000"/>
      <w:sz w:val="24"/>
      <w:szCs w:val="24"/>
      <w:lang w:eastAsia="ru-RU"/>
    </w:rPr>
  </w:style>
  <w:style w:type="paragraph" w:styleId="680">
    <w:name w:val="Heading 1"/>
    <w:basedOn w:val="679"/>
    <w:link w:val="685"/>
    <w:uiPriority w:val="9"/>
    <w:qFormat/>
    <w:pPr>
      <w:spacing w:before="100" w:beforeAutospacing="1" w:after="100" w:afterAutospacing="1" w:line="259" w:lineRule="auto"/>
      <w:widowControl/>
      <w:outlineLvl w:val="0"/>
    </w:pPr>
    <w:rPr>
      <w:rFonts w:ascii="Times New Roman" w:hAnsi="Times New Roman" w:eastAsia="Times New Roman" w:cs="Times New Roman"/>
      <w:b/>
      <w:bCs/>
      <w:color w:val="auto"/>
      <w:sz w:val="48"/>
      <w:szCs w:val="48"/>
    </w:rPr>
  </w:style>
  <w:style w:type="paragraph" w:styleId="681">
    <w:name w:val="Heading 6"/>
    <w:basedOn w:val="679"/>
    <w:next w:val="679"/>
    <w:link w:val="686"/>
    <w:uiPriority w:val="9"/>
    <w:semiHidden/>
    <w:unhideWhenUsed/>
    <w:qFormat/>
    <w:pPr>
      <w:keepLines/>
      <w:keepNext/>
      <w:spacing w:before="200" w:after="160" w:line="259" w:lineRule="auto"/>
      <w:widowControl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  <w:sz w:val="20"/>
      <w:szCs w:val="20"/>
    </w:rPr>
  </w:style>
  <w:style w:type="character" w:styleId="682" w:default="1">
    <w:name w:val="Default Paragraph Font"/>
    <w:uiPriority w:val="1"/>
    <w:semiHidden/>
    <w:unhideWhenUsed/>
  </w:style>
  <w:style w:type="table" w:styleId="68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84" w:default="1">
    <w:name w:val="No List"/>
    <w:uiPriority w:val="99"/>
    <w:semiHidden/>
    <w:unhideWhenUsed/>
  </w:style>
  <w:style w:type="character" w:styleId="685" w:customStyle="1">
    <w:name w:val="Заголовок 1 Знак"/>
    <w:basedOn w:val="682"/>
    <w:link w:val="680"/>
    <w:uiPriority w:val="9"/>
    <w:rPr>
      <w:rFonts w:ascii="Times New Roman" w:hAnsi="Times New Roman" w:eastAsia="Times New Roman" w:cs="Times New Roman"/>
      <w:b/>
      <w:bCs/>
      <w:sz w:val="48"/>
      <w:szCs w:val="48"/>
      <w:lang w:eastAsia="ru-RU"/>
    </w:rPr>
  </w:style>
  <w:style w:type="character" w:styleId="686" w:customStyle="1">
    <w:name w:val="Заголовок 6 Знак"/>
    <w:basedOn w:val="682"/>
    <w:link w:val="681"/>
    <w:uiPriority w:val="9"/>
    <w:semiHidden/>
    <w:rPr>
      <w:rFonts w:asciiTheme="majorHAnsi" w:hAnsiTheme="majorHAnsi" w:eastAsiaTheme="majorEastAsia" w:cstheme="majorBidi"/>
      <w:i/>
      <w:iCs/>
      <w:color w:val="243f60" w:themeColor="accent1" w:themeShade="7F"/>
      <w:sz w:val="20"/>
      <w:szCs w:val="20"/>
      <w:lang w:eastAsia="ru-RU"/>
    </w:rPr>
  </w:style>
  <w:style w:type="paragraph" w:styleId="687">
    <w:name w:val="List Paragraph"/>
    <w:basedOn w:val="679"/>
    <w:uiPriority w:val="34"/>
    <w:qFormat/>
    <w:pPr>
      <w:contextualSpacing/>
      <w:ind w:left="720"/>
      <w:spacing w:after="160" w:line="259" w:lineRule="auto"/>
      <w:widowControl/>
    </w:pPr>
    <w:rPr>
      <w:rFonts w:ascii="Times New Roman" w:hAnsi="Times New Roman" w:eastAsia="Times New Roman" w:cs="Times New Roman"/>
      <w:color w:val="auto"/>
      <w:sz w:val="20"/>
      <w:szCs w:val="20"/>
    </w:rPr>
  </w:style>
  <w:style w:type="character" w:styleId="688" w:customStyle="1">
    <w:name w:val="Основной текст (2)_"/>
    <w:link w:val="690"/>
    <w:uiPriority w:val="99"/>
    <w:rPr>
      <w:rFonts w:ascii="Times New Roman" w:hAnsi="Times New Roman" w:eastAsia="Times New Roman" w:cs="Times New Roman"/>
      <w:b/>
      <w:bCs/>
      <w:sz w:val="26"/>
      <w:szCs w:val="26"/>
      <w:shd w:val="clear" w:color="auto" w:fill="ffffff"/>
    </w:rPr>
  </w:style>
  <w:style w:type="character" w:styleId="689" w:customStyle="1">
    <w:name w:val="Основной текст_"/>
    <w:link w:val="691"/>
    <w:rPr>
      <w:rFonts w:ascii="Times New Roman" w:hAnsi="Times New Roman" w:eastAsia="Times New Roman" w:cs="Times New Roman"/>
      <w:sz w:val="26"/>
      <w:szCs w:val="26"/>
      <w:shd w:val="clear" w:color="auto" w:fill="ffffff"/>
    </w:rPr>
  </w:style>
  <w:style w:type="paragraph" w:styleId="690" w:customStyle="1">
    <w:name w:val="Основной текст (2)"/>
    <w:basedOn w:val="679"/>
    <w:link w:val="688"/>
    <w:uiPriority w:val="99"/>
    <w:pPr>
      <w:jc w:val="center"/>
      <w:spacing w:after="180" w:line="317" w:lineRule="exact"/>
      <w:shd w:val="clear" w:color="auto" w:fill="ffffff"/>
    </w:pPr>
    <w:rPr>
      <w:rFonts w:ascii="Times New Roman" w:hAnsi="Times New Roman" w:eastAsia="Times New Roman" w:cs="Times New Roman"/>
      <w:b/>
      <w:bCs/>
      <w:color w:val="auto"/>
      <w:sz w:val="26"/>
      <w:szCs w:val="26"/>
      <w:lang w:eastAsia="en-US"/>
    </w:rPr>
  </w:style>
  <w:style w:type="paragraph" w:styleId="691" w:customStyle="1">
    <w:name w:val="Основной текст1"/>
    <w:basedOn w:val="679"/>
    <w:link w:val="689"/>
    <w:pPr>
      <w:ind w:hanging="840"/>
      <w:jc w:val="both"/>
      <w:spacing w:before="180" w:line="322" w:lineRule="exact"/>
      <w:shd w:val="clear" w:color="auto" w:fill="ffffff"/>
    </w:pPr>
    <w:rPr>
      <w:rFonts w:ascii="Times New Roman" w:hAnsi="Times New Roman" w:eastAsia="Times New Roman" w:cs="Times New Roman"/>
      <w:color w:val="auto"/>
      <w:sz w:val="26"/>
      <w:szCs w:val="26"/>
      <w:lang w:eastAsia="en-US"/>
    </w:rPr>
  </w:style>
  <w:style w:type="paragraph" w:styleId="692">
    <w:name w:val="Normal (Web)"/>
    <w:basedOn w:val="679"/>
    <w:uiPriority w:val="99"/>
    <w:semiHidden/>
    <w:unhideWhenUsed/>
    <w:pPr>
      <w:spacing w:before="100" w:beforeAutospacing="1" w:after="100" w:afterAutospacing="1"/>
      <w:widowControl/>
    </w:pPr>
    <w:rPr>
      <w:rFonts w:ascii="Times New Roman" w:hAnsi="Times New Roman" w:eastAsia="Times New Roman" w:cs="Times New Roman"/>
      <w:color w:val="auto"/>
    </w:rPr>
  </w:style>
  <w:style w:type="paragraph" w:styleId="693">
    <w:name w:val="Body Text Indent"/>
    <w:basedOn w:val="679"/>
    <w:link w:val="694"/>
    <w:semiHidden/>
    <w:pPr>
      <w:ind w:right="47" w:firstLine="472"/>
      <w:jc w:val="center"/>
      <w:shd w:val="clear" w:color="auto" w:fill="ffffff"/>
    </w:pPr>
    <w:rPr>
      <w:rFonts w:ascii="Times New Roman" w:hAnsi="Times New Roman" w:eastAsia="Times New Roman" w:cs="Arial"/>
      <w:b/>
      <w:sz w:val="28"/>
      <w:szCs w:val="22"/>
    </w:rPr>
  </w:style>
  <w:style w:type="character" w:styleId="694" w:customStyle="1">
    <w:name w:val="Основной текст с отступом Знак"/>
    <w:basedOn w:val="682"/>
    <w:link w:val="693"/>
    <w:semiHidden/>
    <w:rPr>
      <w:rFonts w:ascii="Times New Roman" w:hAnsi="Times New Roman" w:eastAsia="Times New Roman" w:cs="Arial"/>
      <w:b/>
      <w:color w:val="000000"/>
      <w:sz w:val="28"/>
      <w:shd w:val="clear" w:color="auto" w:fill="ffffff"/>
      <w:lang w:eastAsia="ru-RU"/>
    </w:rPr>
  </w:style>
  <w:style w:type="paragraph" w:styleId="695">
    <w:name w:val="Header"/>
    <w:basedOn w:val="679"/>
    <w:link w:val="696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696" w:customStyle="1">
    <w:name w:val="Верхний колонтитул Знак"/>
    <w:basedOn w:val="682"/>
    <w:link w:val="695"/>
    <w:uiPriority w:val="99"/>
    <w:rPr>
      <w:rFonts w:ascii="Courier New" w:hAnsi="Courier New" w:eastAsia="Courier New" w:cs="Courier New"/>
      <w:color w:val="000000"/>
      <w:sz w:val="24"/>
      <w:szCs w:val="24"/>
      <w:lang w:eastAsia="ru-RU"/>
    </w:rPr>
  </w:style>
  <w:style w:type="paragraph" w:styleId="697">
    <w:name w:val="Footer"/>
    <w:basedOn w:val="679"/>
    <w:link w:val="698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698" w:customStyle="1">
    <w:name w:val="Нижний колонтитул Знак"/>
    <w:basedOn w:val="682"/>
    <w:link w:val="697"/>
    <w:uiPriority w:val="99"/>
    <w:rPr>
      <w:rFonts w:ascii="Courier New" w:hAnsi="Courier New" w:eastAsia="Courier New" w:cs="Courier New"/>
      <w:color w:val="000000"/>
      <w:sz w:val="24"/>
      <w:szCs w:val="24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r7-office/2024.3.2.622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Мурад Шихахмедов</cp:lastModifiedBy>
  <cp:revision>30</cp:revision>
  <dcterms:created xsi:type="dcterms:W3CDTF">2024-01-11T09:47:00Z</dcterms:created>
  <dcterms:modified xsi:type="dcterms:W3CDTF">2025-03-24T11:23:10Z</dcterms:modified>
</cp:coreProperties>
</file>